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EDITING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 At this point in the writing process, writers proofread and correct errors in grammar and mechanics, and edit to improve style and clarity. Having another writer’s feedback in this stage is helpful.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Types of Editing -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u w:val="none"/>
        </w:rPr>
      </w:pPr>
      <w:r w:rsidRPr="00000000" w:rsidR="00000000" w:rsidDel="00000000">
        <w:rPr>
          <w:rFonts w:cs="Times New Roman" w:hAnsi="Times New Roman" w:eastAsia="Times New Roman" w:ascii="Times New Roman"/>
          <w:sz w:val="28"/>
          <w:highlight w:val="white"/>
          <w:rtl w:val="0"/>
        </w:rPr>
        <w:t xml:space="preserve">peer review/editing</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u w:val="none"/>
        </w:rPr>
      </w:pPr>
      <w:r w:rsidRPr="00000000" w:rsidR="00000000" w:rsidDel="00000000">
        <w:rPr>
          <w:rFonts w:cs="Times New Roman" w:hAnsi="Times New Roman" w:eastAsia="Times New Roman" w:ascii="Times New Roman"/>
          <w:sz w:val="28"/>
          <w:highlight w:val="white"/>
          <w:rtl w:val="0"/>
        </w:rPr>
        <w:t xml:space="preserve">teacher editing</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u w:val="none"/>
        </w:rPr>
      </w:pPr>
      <w:r w:rsidRPr="00000000" w:rsidR="00000000" w:rsidDel="00000000">
        <w:rPr>
          <w:rFonts w:cs="Times New Roman" w:hAnsi="Times New Roman" w:eastAsia="Times New Roman" w:ascii="Times New Roman"/>
          <w:sz w:val="28"/>
          <w:highlight w:val="white"/>
          <w:rtl w:val="0"/>
        </w:rPr>
        <w:t xml:space="preserve">editing programs/software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4457700" cx="5943600"/>
            <wp:effectExtent t="0" b="0" r="0" l="0"/>
            <wp:docPr id="1" name="image00.jpg" descr="9990558_orig.jpg"/>
            <a:graphic>
              <a:graphicData uri="http://schemas.openxmlformats.org/drawingml/2006/picture">
                <pic:pic>
                  <pic:nvPicPr>
                    <pic:cNvPr id="0" name="image00.jpg" descr="9990558_orig.jpg"/>
                    <pic:cNvPicPr preferRelativeResize="0"/>
                  </pic:nvPicPr>
                  <pic:blipFill>
                    <a:blip r:embed="rId5"/>
                    <a:srcRect t="0" b="0" r="0" l="0"/>
                    <a:stretch>
                      <a:fillRect/>
                    </a:stretch>
                  </pic:blipFill>
                  <pic:spPr>
                    <a:xfrm>
                      <a:ext cy="4457700" cx="5943600"/>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Editing.docx</dc:title>
</cp:coreProperties>
</file>